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B6A" w:rsidRDefault="00DD4B6A" w:rsidP="00DD4B6A">
      <w:pPr>
        <w:spacing w:line="360" w:lineRule="auto"/>
        <w:jc w:val="center"/>
        <w:rPr>
          <w:b/>
          <w:bCs/>
          <w:u w:val="single"/>
          <w:rtl/>
        </w:rPr>
      </w:pPr>
      <w:bookmarkStart w:id="0" w:name="_GoBack"/>
      <w:bookmarkEnd w:id="0"/>
      <w:r>
        <w:rPr>
          <w:rFonts w:hint="cs"/>
          <w:b/>
          <w:bCs/>
          <w:u w:val="single"/>
          <w:rtl/>
        </w:rPr>
        <w:t>הסתלקות מתובענה ייצוגית ושיקולים בפסיקת שכר טרחה</w:t>
      </w:r>
    </w:p>
    <w:p w:rsidR="005A5033" w:rsidRDefault="00DD4B6A" w:rsidP="00DD4B6A">
      <w:pPr>
        <w:jc w:val="center"/>
        <w:rPr>
          <w:rtl/>
        </w:rPr>
      </w:pPr>
      <w:r>
        <w:rPr>
          <w:rFonts w:hint="cs"/>
          <w:rtl/>
        </w:rPr>
        <w:t>עו"ד אמיר ישראלי</w:t>
      </w:r>
    </w:p>
    <w:p w:rsidR="00DD4B6A" w:rsidRDefault="00DD4B6A" w:rsidP="00DD4B6A">
      <w:pPr>
        <w:pStyle w:val="a3"/>
        <w:numPr>
          <w:ilvl w:val="0"/>
          <w:numId w:val="3"/>
        </w:numPr>
        <w:spacing w:line="360" w:lineRule="auto"/>
        <w:rPr>
          <w:rFonts w:cs="David"/>
        </w:rPr>
      </w:pPr>
      <w:r w:rsidRPr="00DD4B6A">
        <w:rPr>
          <w:rFonts w:cs="David" w:hint="cs"/>
          <w:rtl/>
        </w:rPr>
        <w:t xml:space="preserve">מהי הסתלקות מתובענה ייצוגית? </w:t>
      </w:r>
    </w:p>
    <w:p w:rsidR="00DD4B6A" w:rsidRDefault="00DD4B6A" w:rsidP="00DD4B6A">
      <w:pPr>
        <w:pStyle w:val="a3"/>
        <w:numPr>
          <w:ilvl w:val="0"/>
          <w:numId w:val="3"/>
        </w:numPr>
        <w:spacing w:line="360" w:lineRule="auto"/>
        <w:rPr>
          <w:rFonts w:cs="David"/>
        </w:rPr>
      </w:pPr>
      <w:r w:rsidRPr="00DD4B6A">
        <w:rPr>
          <w:rFonts w:cs="David" w:hint="cs"/>
          <w:rtl/>
        </w:rPr>
        <w:t>כיצד מוגשת ההסתלקות?</w:t>
      </w:r>
    </w:p>
    <w:p w:rsidR="00DD4B6A" w:rsidRDefault="00DD4B6A" w:rsidP="00DD4B6A">
      <w:pPr>
        <w:pStyle w:val="a3"/>
        <w:numPr>
          <w:ilvl w:val="0"/>
          <w:numId w:val="3"/>
        </w:numPr>
        <w:spacing w:line="360" w:lineRule="auto"/>
        <w:rPr>
          <w:rFonts w:cs="David"/>
        </w:rPr>
      </w:pPr>
      <w:r w:rsidRPr="00DD4B6A">
        <w:rPr>
          <w:rFonts w:cs="David" w:hint="cs"/>
          <w:rtl/>
        </w:rPr>
        <w:t>שיקוליו של ביהמ"ש באישור בקשת הסתלקות</w:t>
      </w:r>
      <w:r>
        <w:rPr>
          <w:rFonts w:cs="David" w:hint="cs"/>
          <w:rtl/>
        </w:rPr>
        <w:t xml:space="preserve"> ובפרסום מודעה</w:t>
      </w:r>
      <w:r w:rsidRPr="00DD4B6A">
        <w:rPr>
          <w:rFonts w:cs="David" w:hint="cs"/>
          <w:rtl/>
        </w:rPr>
        <w:t>.</w:t>
      </w:r>
    </w:p>
    <w:p w:rsidR="00DD4B6A" w:rsidRPr="00DD4B6A" w:rsidRDefault="00DD4B6A" w:rsidP="00DD4B6A">
      <w:pPr>
        <w:pStyle w:val="a3"/>
        <w:numPr>
          <w:ilvl w:val="0"/>
          <w:numId w:val="3"/>
        </w:numPr>
        <w:spacing w:line="360" w:lineRule="auto"/>
        <w:rPr>
          <w:rFonts w:cs="David"/>
          <w:rtl/>
        </w:rPr>
      </w:pPr>
      <w:r w:rsidRPr="00DD4B6A">
        <w:rPr>
          <w:rFonts w:cs="David" w:hint="cs"/>
          <w:rtl/>
        </w:rPr>
        <w:t>מהי הסתלקות מתוגמלת ומהם השיקולים האם לאשר שכר טרחה וגמול</w:t>
      </w:r>
      <w:r>
        <w:rPr>
          <w:rFonts w:cs="David" w:hint="cs"/>
          <w:rtl/>
        </w:rPr>
        <w:t xml:space="preserve"> במסגרתה</w:t>
      </w:r>
      <w:r w:rsidRPr="00DD4B6A">
        <w:rPr>
          <w:rFonts w:cs="David" w:hint="cs"/>
          <w:rtl/>
        </w:rPr>
        <w:t>?</w:t>
      </w:r>
    </w:p>
    <w:p w:rsidR="00AA737C" w:rsidRDefault="00AA737C" w:rsidP="00DD4B6A">
      <w:pPr>
        <w:spacing w:line="360" w:lineRule="auto"/>
        <w:jc w:val="both"/>
        <w:rPr>
          <w:rFonts w:cs="David"/>
          <w:rtl/>
        </w:rPr>
      </w:pPr>
    </w:p>
    <w:p w:rsidR="00DD4B6A" w:rsidRDefault="00DD4B6A" w:rsidP="00DD4B6A">
      <w:pPr>
        <w:spacing w:line="360" w:lineRule="auto"/>
        <w:jc w:val="both"/>
        <w:rPr>
          <w:rFonts w:cs="David"/>
          <w:rtl/>
        </w:rPr>
      </w:pPr>
      <w:r>
        <w:rPr>
          <w:rFonts w:cs="David" w:hint="cs"/>
          <w:rtl/>
        </w:rPr>
        <w:t>סעיף 16 לחוק תובענות ייצוגיות</w:t>
      </w:r>
    </w:p>
    <w:p w:rsidR="00DD4B6A" w:rsidRDefault="00DD4B6A" w:rsidP="00DD4B6A">
      <w:pPr>
        <w:spacing w:line="360" w:lineRule="auto"/>
        <w:jc w:val="both"/>
        <w:rPr>
          <w:rFonts w:cs="David"/>
          <w:rtl/>
        </w:rPr>
      </w:pPr>
      <w:r>
        <w:rPr>
          <w:rFonts w:cs="David" w:hint="cs"/>
          <w:rtl/>
        </w:rPr>
        <w:t>סעיף 11 לתקנות תובענות ייצוגיות</w:t>
      </w:r>
    </w:p>
    <w:p w:rsidR="00DD4B6A" w:rsidRPr="00DD4B6A" w:rsidRDefault="00DD4B6A" w:rsidP="00DD4B6A">
      <w:pPr>
        <w:spacing w:line="360" w:lineRule="auto"/>
        <w:jc w:val="both"/>
        <w:rPr>
          <w:rFonts w:cs="David"/>
          <w:sz w:val="23"/>
          <w:szCs w:val="23"/>
          <w:rtl/>
        </w:rPr>
      </w:pPr>
      <w:r w:rsidRPr="00DD4B6A">
        <w:rPr>
          <w:rFonts w:ascii="Times New Roman" w:eastAsia="Times New Roman" w:hAnsi="Times New Roman" w:cs="David" w:hint="cs"/>
          <w:sz w:val="23"/>
          <w:szCs w:val="23"/>
          <w:rtl/>
        </w:rPr>
        <w:t xml:space="preserve">ת"צ 14064-12-09 </w:t>
      </w:r>
      <w:proofErr w:type="spellStart"/>
      <w:r w:rsidRPr="00DD4B6A">
        <w:rPr>
          <w:rFonts w:ascii="Times New Roman" w:eastAsia="Times New Roman" w:hAnsi="Times New Roman" w:cs="David" w:hint="cs"/>
          <w:b/>
          <w:bCs/>
          <w:sz w:val="23"/>
          <w:szCs w:val="23"/>
          <w:rtl/>
        </w:rPr>
        <w:t>ז'טלני</w:t>
      </w:r>
      <w:proofErr w:type="spellEnd"/>
      <w:r w:rsidRPr="00DD4B6A">
        <w:rPr>
          <w:rFonts w:ascii="Times New Roman" w:eastAsia="Times New Roman" w:hAnsi="Times New Roman" w:cs="David" w:hint="cs"/>
          <w:b/>
          <w:bCs/>
          <w:sz w:val="23"/>
          <w:szCs w:val="23"/>
          <w:rtl/>
        </w:rPr>
        <w:t xml:space="preserve"> ואח' נ' בנק הפועלים בע"מ ואח'</w:t>
      </w:r>
      <w:r w:rsidRPr="00DD4B6A">
        <w:rPr>
          <w:rFonts w:cs="David" w:hint="cs"/>
          <w:sz w:val="23"/>
          <w:szCs w:val="23"/>
          <w:rtl/>
        </w:rPr>
        <w:t xml:space="preserve"> (16.1.2011, פורסם ב"נבו")</w:t>
      </w:r>
    </w:p>
    <w:p w:rsidR="00DD4B6A" w:rsidRPr="00DD4B6A" w:rsidRDefault="00DD4B6A" w:rsidP="00DD4B6A">
      <w:pPr>
        <w:spacing w:line="360" w:lineRule="auto"/>
        <w:jc w:val="both"/>
        <w:rPr>
          <w:rFonts w:cs="David"/>
          <w:sz w:val="23"/>
          <w:szCs w:val="23"/>
          <w:rtl/>
        </w:rPr>
      </w:pPr>
      <w:proofErr w:type="spellStart"/>
      <w:r w:rsidRPr="00DD4B6A">
        <w:rPr>
          <w:rFonts w:cs="David" w:hint="cs"/>
          <w:b/>
          <w:bCs/>
          <w:color w:val="000000"/>
          <w:sz w:val="23"/>
          <w:szCs w:val="23"/>
          <w:rtl/>
        </w:rPr>
        <w:t>עא</w:t>
      </w:r>
      <w:proofErr w:type="spellEnd"/>
      <w:r w:rsidRPr="00DD4B6A">
        <w:rPr>
          <w:rFonts w:cs="David" w:hint="cs"/>
          <w:b/>
          <w:bCs/>
          <w:color w:val="000000"/>
          <w:sz w:val="23"/>
          <w:szCs w:val="23"/>
          <w:rtl/>
        </w:rPr>
        <w:t xml:space="preserve"> 1384/11 ‏ ‏ ד"ר ולנטין </w:t>
      </w:r>
      <w:proofErr w:type="spellStart"/>
      <w:r w:rsidRPr="00DD4B6A">
        <w:rPr>
          <w:rFonts w:cs="David" w:hint="cs"/>
          <w:b/>
          <w:bCs/>
          <w:color w:val="000000"/>
          <w:sz w:val="23"/>
          <w:szCs w:val="23"/>
          <w:rtl/>
        </w:rPr>
        <w:t>ז'טלני</w:t>
      </w:r>
      <w:proofErr w:type="spellEnd"/>
      <w:r w:rsidRPr="00DD4B6A">
        <w:rPr>
          <w:rFonts w:cs="David" w:hint="cs"/>
          <w:b/>
          <w:bCs/>
          <w:color w:val="000000"/>
          <w:sz w:val="23"/>
          <w:szCs w:val="23"/>
          <w:rtl/>
        </w:rPr>
        <w:t xml:space="preserve"> נ' בנק הפועלים בע"מ</w:t>
      </w:r>
      <w:r w:rsidRPr="00DD4B6A">
        <w:rPr>
          <w:rFonts w:cs="David" w:hint="cs"/>
          <w:sz w:val="23"/>
          <w:szCs w:val="23"/>
          <w:rtl/>
        </w:rPr>
        <w:t xml:space="preserve"> (30.1.2013, פורסם ב"נבו")</w:t>
      </w:r>
    </w:p>
    <w:p w:rsidR="00DD4B6A" w:rsidRPr="00DD4B6A" w:rsidRDefault="00DD4B6A" w:rsidP="00DD4B6A">
      <w:pPr>
        <w:spacing w:line="360" w:lineRule="auto"/>
        <w:jc w:val="both"/>
        <w:rPr>
          <w:rFonts w:cs="David"/>
          <w:sz w:val="23"/>
          <w:szCs w:val="23"/>
          <w:rtl/>
        </w:rPr>
      </w:pPr>
      <w:proofErr w:type="spellStart"/>
      <w:r w:rsidRPr="00DD4B6A">
        <w:rPr>
          <w:rFonts w:cs="David" w:hint="cs"/>
          <w:b/>
          <w:bCs/>
          <w:color w:val="000000"/>
          <w:sz w:val="23"/>
          <w:szCs w:val="23"/>
          <w:shd w:val="clear" w:color="auto" w:fill="FFFFFF"/>
          <w:rtl/>
        </w:rPr>
        <w:t>עא</w:t>
      </w:r>
      <w:proofErr w:type="spellEnd"/>
      <w:r w:rsidRPr="00DD4B6A">
        <w:rPr>
          <w:rFonts w:cs="David" w:hint="cs"/>
          <w:b/>
          <w:bCs/>
          <w:color w:val="000000"/>
          <w:sz w:val="23"/>
          <w:szCs w:val="23"/>
          <w:shd w:val="clear" w:color="auto" w:fill="FFFFFF"/>
          <w:rtl/>
        </w:rPr>
        <w:t xml:space="preserve"> 1362/12 היועץ המשפטי לממשלה נ' סלקום ישראל בע"מ</w:t>
      </w:r>
      <w:r w:rsidRPr="00DD4B6A">
        <w:rPr>
          <w:rFonts w:cs="David" w:hint="cs"/>
          <w:sz w:val="23"/>
          <w:szCs w:val="23"/>
          <w:rtl/>
        </w:rPr>
        <w:t xml:space="preserve"> (13.5.2013, פורסם ב"נבו")</w:t>
      </w:r>
    </w:p>
    <w:p w:rsidR="00DD4B6A" w:rsidRPr="00DD4B6A" w:rsidRDefault="00DD4B6A" w:rsidP="00DD4B6A">
      <w:pPr>
        <w:spacing w:line="360" w:lineRule="auto"/>
        <w:jc w:val="both"/>
        <w:rPr>
          <w:rFonts w:cs="David"/>
          <w:sz w:val="23"/>
          <w:szCs w:val="23"/>
          <w:rtl/>
        </w:rPr>
      </w:pPr>
      <w:r w:rsidRPr="00DD4B6A">
        <w:rPr>
          <w:rFonts w:cs="David" w:hint="cs"/>
          <w:sz w:val="23"/>
          <w:szCs w:val="23"/>
          <w:rtl/>
        </w:rPr>
        <w:t xml:space="preserve">(ת"א) 2172-09‏ ‏ </w:t>
      </w:r>
      <w:r w:rsidRPr="00DD4B6A">
        <w:rPr>
          <w:rFonts w:cs="David" w:hint="cs"/>
          <w:b/>
          <w:bCs/>
          <w:sz w:val="23"/>
          <w:szCs w:val="23"/>
          <w:rtl/>
        </w:rPr>
        <w:t>דוד מיכאל מימון נ' אלטשולר שחם קופות גמל בע"מ</w:t>
      </w:r>
      <w:r w:rsidRPr="00DD4B6A">
        <w:rPr>
          <w:rFonts w:cs="David" w:hint="cs"/>
          <w:sz w:val="23"/>
          <w:szCs w:val="23"/>
          <w:rtl/>
        </w:rPr>
        <w:t xml:space="preserve"> (17.2.2013, פורסם ב"נבו")</w:t>
      </w:r>
    </w:p>
    <w:p w:rsidR="00DD4B6A" w:rsidRPr="00DD4B6A" w:rsidRDefault="00DD4B6A" w:rsidP="00DD4B6A">
      <w:pPr>
        <w:spacing w:line="360" w:lineRule="auto"/>
        <w:jc w:val="both"/>
        <w:rPr>
          <w:rFonts w:ascii="Times New Roman" w:eastAsia="Times New Roman" w:hAnsi="Times New Roman" w:cs="David"/>
          <w:color w:val="000000"/>
          <w:sz w:val="23"/>
          <w:szCs w:val="23"/>
          <w:rtl/>
        </w:rPr>
      </w:pPr>
      <w:proofErr w:type="spellStart"/>
      <w:r w:rsidRPr="00DD4B6A">
        <w:rPr>
          <w:rFonts w:asciiTheme="majorBidi" w:hAnsiTheme="majorBidi" w:cs="David"/>
          <w:color w:val="000000"/>
          <w:sz w:val="23"/>
          <w:szCs w:val="23"/>
          <w:rtl/>
        </w:rPr>
        <w:t>תצ</w:t>
      </w:r>
      <w:proofErr w:type="spellEnd"/>
      <w:r w:rsidRPr="00DD4B6A">
        <w:rPr>
          <w:rFonts w:asciiTheme="majorBidi" w:hAnsiTheme="majorBidi" w:cs="David"/>
          <w:color w:val="000000"/>
          <w:sz w:val="23"/>
          <w:szCs w:val="23"/>
          <w:rtl/>
        </w:rPr>
        <w:t xml:space="preserve"> (ת"א) 1469-02-13‏ ‏ </w:t>
      </w:r>
      <w:r w:rsidRPr="00DD4B6A">
        <w:rPr>
          <w:rFonts w:asciiTheme="majorBidi" w:hAnsiTheme="majorBidi" w:cs="David"/>
          <w:b/>
          <w:bCs/>
          <w:color w:val="000000"/>
          <w:sz w:val="23"/>
          <w:szCs w:val="23"/>
          <w:rtl/>
        </w:rPr>
        <w:t>עידן לוי נ' פסטה נונה בע"מ</w:t>
      </w:r>
      <w:r w:rsidRPr="00DD4B6A">
        <w:rPr>
          <w:rFonts w:asciiTheme="majorBidi" w:hAnsiTheme="majorBidi" w:cs="David"/>
          <w:sz w:val="23"/>
          <w:szCs w:val="23"/>
          <w:rtl/>
        </w:rPr>
        <w:t xml:space="preserve"> (פורסם ב"נבו"</w:t>
      </w:r>
      <w:r w:rsidRPr="00DD4B6A">
        <w:rPr>
          <w:rFonts w:asciiTheme="majorBidi" w:hAnsiTheme="majorBidi" w:cs="David" w:hint="cs"/>
          <w:sz w:val="23"/>
          <w:szCs w:val="23"/>
          <w:rtl/>
        </w:rPr>
        <w:t>,</w:t>
      </w:r>
      <w:r w:rsidRPr="00DD4B6A">
        <w:rPr>
          <w:rFonts w:asciiTheme="majorBidi" w:hAnsiTheme="majorBidi" w:cs="David"/>
          <w:sz w:val="23"/>
          <w:szCs w:val="23"/>
          <w:rtl/>
        </w:rPr>
        <w:t>26.11.2014)</w:t>
      </w:r>
    </w:p>
    <w:p w:rsidR="00DD4B6A" w:rsidRDefault="00DD4B6A" w:rsidP="00DD4B6A">
      <w:pPr>
        <w:spacing w:line="360" w:lineRule="auto"/>
        <w:jc w:val="both"/>
        <w:rPr>
          <w:rFonts w:cs="David"/>
          <w:sz w:val="23"/>
          <w:szCs w:val="23"/>
          <w:rtl/>
        </w:rPr>
      </w:pPr>
      <w:proofErr w:type="spellStart"/>
      <w:r w:rsidRPr="00DD4B6A">
        <w:rPr>
          <w:rFonts w:cs="David" w:hint="cs"/>
          <w:color w:val="000000"/>
          <w:sz w:val="23"/>
          <w:szCs w:val="23"/>
          <w:rtl/>
        </w:rPr>
        <w:t>עא</w:t>
      </w:r>
      <w:proofErr w:type="spellEnd"/>
      <w:r w:rsidRPr="00DD4B6A">
        <w:rPr>
          <w:rFonts w:cs="David" w:hint="cs"/>
          <w:color w:val="000000"/>
          <w:sz w:val="23"/>
          <w:szCs w:val="23"/>
          <w:rtl/>
        </w:rPr>
        <w:t xml:space="preserve"> 8114/14 ‏</w:t>
      </w:r>
      <w:proofErr w:type="spellStart"/>
      <w:r w:rsidRPr="00DD4B6A">
        <w:rPr>
          <w:rFonts w:cs="David" w:hint="cs"/>
          <w:b/>
          <w:bCs/>
          <w:color w:val="000000"/>
          <w:sz w:val="23"/>
          <w:szCs w:val="23"/>
          <w:rtl/>
        </w:rPr>
        <w:t>מרקיט</w:t>
      </w:r>
      <w:proofErr w:type="spellEnd"/>
      <w:r w:rsidRPr="00DD4B6A">
        <w:rPr>
          <w:rFonts w:cs="David" w:hint="cs"/>
          <w:b/>
          <w:bCs/>
          <w:color w:val="000000"/>
          <w:sz w:val="23"/>
          <w:szCs w:val="23"/>
          <w:rtl/>
        </w:rPr>
        <w:t xml:space="preserve"> מוצרי ייעול בע"מ נ' סונול ישראל בע"מ</w:t>
      </w:r>
      <w:r w:rsidR="00103194">
        <w:rPr>
          <w:rFonts w:cs="David" w:hint="cs"/>
          <w:sz w:val="23"/>
          <w:szCs w:val="23"/>
          <w:rtl/>
        </w:rPr>
        <w:t xml:space="preserve"> (5.8.2018, פורסם ב"נבו")</w:t>
      </w:r>
    </w:p>
    <w:p w:rsidR="00AA737C" w:rsidRDefault="00AA737C" w:rsidP="00DD4B6A">
      <w:pPr>
        <w:spacing w:line="360" w:lineRule="auto"/>
        <w:jc w:val="both"/>
        <w:rPr>
          <w:rFonts w:cs="David"/>
          <w:sz w:val="23"/>
          <w:szCs w:val="23"/>
          <w:rtl/>
        </w:rPr>
      </w:pPr>
    </w:p>
    <w:p w:rsidR="00AA737C" w:rsidRDefault="00AA737C" w:rsidP="00DD4B6A">
      <w:pPr>
        <w:spacing w:line="360" w:lineRule="auto"/>
        <w:jc w:val="both"/>
        <w:rPr>
          <w:rFonts w:cs="David"/>
          <w:sz w:val="23"/>
          <w:szCs w:val="23"/>
          <w:rtl/>
        </w:rPr>
      </w:pPr>
    </w:p>
    <w:p w:rsidR="00AA737C" w:rsidRPr="00AA737C" w:rsidRDefault="00AA737C" w:rsidP="00AA737C">
      <w:pPr>
        <w:spacing w:line="360" w:lineRule="auto"/>
        <w:jc w:val="center"/>
        <w:rPr>
          <w:rFonts w:cs="David"/>
          <w:u w:val="single"/>
          <w:rtl/>
        </w:rPr>
      </w:pPr>
      <w:r w:rsidRPr="00AA737C">
        <w:rPr>
          <w:rFonts w:cs="David" w:hint="cs"/>
          <w:u w:val="single"/>
          <w:rtl/>
        </w:rPr>
        <w:t>שיקולים בפסיקת שכר טרחה וגמול</w:t>
      </w:r>
    </w:p>
    <w:p w:rsidR="00AA737C" w:rsidRDefault="00AA737C" w:rsidP="00AA737C">
      <w:pPr>
        <w:spacing w:line="360" w:lineRule="auto"/>
        <w:jc w:val="both"/>
        <w:rPr>
          <w:rFonts w:cs="David"/>
          <w:sz w:val="23"/>
          <w:szCs w:val="23"/>
          <w:rtl/>
        </w:rPr>
      </w:pPr>
      <w:r>
        <w:rPr>
          <w:rFonts w:cs="David" w:hint="cs"/>
          <w:sz w:val="23"/>
          <w:szCs w:val="23"/>
          <w:rtl/>
        </w:rPr>
        <w:t>סעיפים 22-23 לחוק תובענות ייצוגיות</w:t>
      </w:r>
    </w:p>
    <w:p w:rsidR="00AA737C" w:rsidRDefault="00AA737C" w:rsidP="00AA737C">
      <w:pPr>
        <w:spacing w:line="360" w:lineRule="auto"/>
        <w:jc w:val="both"/>
        <w:rPr>
          <w:rFonts w:cs="David"/>
          <w:rtl/>
        </w:rPr>
      </w:pPr>
      <w:proofErr w:type="spellStart"/>
      <w:r w:rsidRPr="009B6E60">
        <w:rPr>
          <w:rFonts w:cs="David" w:hint="cs"/>
          <w:color w:val="000000"/>
          <w:sz w:val="23"/>
          <w:szCs w:val="23"/>
          <w:rtl/>
        </w:rPr>
        <w:t>עא</w:t>
      </w:r>
      <w:proofErr w:type="spellEnd"/>
      <w:r w:rsidRPr="009B6E60">
        <w:rPr>
          <w:rFonts w:cs="David" w:hint="cs"/>
          <w:color w:val="000000"/>
          <w:sz w:val="23"/>
          <w:szCs w:val="23"/>
          <w:rtl/>
        </w:rPr>
        <w:t xml:space="preserve"> 7094/09 </w:t>
      </w:r>
      <w:proofErr w:type="spellStart"/>
      <w:r w:rsidRPr="009B6E60">
        <w:rPr>
          <w:rFonts w:cs="David" w:hint="cs"/>
          <w:b/>
          <w:bCs/>
          <w:color w:val="000000"/>
          <w:sz w:val="23"/>
          <w:szCs w:val="23"/>
          <w:rtl/>
        </w:rPr>
        <w:t>ברוזובסקי</w:t>
      </w:r>
      <w:proofErr w:type="spellEnd"/>
      <w:r w:rsidRPr="009B6E60">
        <w:rPr>
          <w:rFonts w:cs="David" w:hint="cs"/>
          <w:b/>
          <w:bCs/>
          <w:color w:val="000000"/>
          <w:sz w:val="23"/>
          <w:szCs w:val="23"/>
          <w:rtl/>
        </w:rPr>
        <w:t xml:space="preserve"> הובלות בע"מ נ' איתוראן איתור ושליטה בע"מ</w:t>
      </w:r>
    </w:p>
    <w:p w:rsidR="00AA737C" w:rsidRDefault="00AA737C" w:rsidP="00AA737C">
      <w:pPr>
        <w:spacing w:line="360" w:lineRule="auto"/>
        <w:jc w:val="both"/>
        <w:rPr>
          <w:rFonts w:cs="David"/>
          <w:rtl/>
        </w:rPr>
      </w:pPr>
      <w:proofErr w:type="spellStart"/>
      <w:r w:rsidRPr="009B6E60">
        <w:rPr>
          <w:rFonts w:cs="David" w:hint="cs"/>
          <w:color w:val="000000"/>
          <w:sz w:val="23"/>
          <w:szCs w:val="23"/>
          <w:rtl/>
        </w:rPr>
        <w:t>עא</w:t>
      </w:r>
      <w:proofErr w:type="spellEnd"/>
      <w:r w:rsidRPr="009B6E60">
        <w:rPr>
          <w:rFonts w:cs="David" w:hint="cs"/>
          <w:color w:val="000000"/>
          <w:sz w:val="23"/>
          <w:szCs w:val="23"/>
          <w:rtl/>
        </w:rPr>
        <w:t xml:space="preserve"> 689/16 </w:t>
      </w:r>
      <w:proofErr w:type="spellStart"/>
      <w:r w:rsidRPr="004004B3">
        <w:rPr>
          <w:rFonts w:cs="David" w:hint="cs"/>
          <w:b/>
          <w:bCs/>
          <w:color w:val="000000"/>
          <w:sz w:val="23"/>
          <w:szCs w:val="23"/>
          <w:rtl/>
        </w:rPr>
        <w:t>עבדאלקאדר</w:t>
      </w:r>
      <w:proofErr w:type="spellEnd"/>
      <w:r w:rsidRPr="004004B3">
        <w:rPr>
          <w:rFonts w:cs="David" w:hint="cs"/>
          <w:b/>
          <w:bCs/>
          <w:color w:val="000000"/>
          <w:sz w:val="23"/>
          <w:szCs w:val="23"/>
          <w:rtl/>
        </w:rPr>
        <w:t xml:space="preserve"> </w:t>
      </w:r>
      <w:proofErr w:type="spellStart"/>
      <w:r w:rsidRPr="004004B3">
        <w:rPr>
          <w:rFonts w:cs="David" w:hint="cs"/>
          <w:b/>
          <w:bCs/>
          <w:color w:val="000000"/>
          <w:sz w:val="23"/>
          <w:szCs w:val="23"/>
          <w:rtl/>
        </w:rPr>
        <w:t>נסאר</w:t>
      </w:r>
      <w:proofErr w:type="spellEnd"/>
      <w:r w:rsidRPr="004004B3">
        <w:rPr>
          <w:rFonts w:cs="David" w:hint="cs"/>
          <w:b/>
          <w:bCs/>
          <w:color w:val="000000"/>
          <w:sz w:val="23"/>
          <w:szCs w:val="23"/>
          <w:rtl/>
        </w:rPr>
        <w:t xml:space="preserve"> נ' עיר השעשועים בע"מ</w:t>
      </w:r>
    </w:p>
    <w:p w:rsidR="00AA737C" w:rsidRDefault="00AA737C" w:rsidP="00AA737C">
      <w:pPr>
        <w:spacing w:line="360" w:lineRule="auto"/>
        <w:jc w:val="both"/>
        <w:rPr>
          <w:rFonts w:cs="David"/>
          <w:rtl/>
        </w:rPr>
      </w:pPr>
      <w:r>
        <w:rPr>
          <w:rFonts w:cs="FrankRuehl" w:hint="cs"/>
          <w:b/>
          <w:bCs/>
          <w:color w:val="000000"/>
          <w:sz w:val="28"/>
          <w:szCs w:val="28"/>
          <w:rtl/>
        </w:rPr>
        <w:t xml:space="preserve">ע"א 2046/10 עזבון המנוח משה שמש נ' דן </w:t>
      </w:r>
      <w:proofErr w:type="spellStart"/>
      <w:r>
        <w:rPr>
          <w:rFonts w:cs="FrankRuehl" w:hint="cs"/>
          <w:b/>
          <w:bCs/>
          <w:color w:val="000000"/>
          <w:sz w:val="28"/>
          <w:szCs w:val="28"/>
          <w:rtl/>
        </w:rPr>
        <w:t>רייכרט</w:t>
      </w:r>
      <w:proofErr w:type="spellEnd"/>
      <w:r>
        <w:rPr>
          <w:rFonts w:cs="FrankRuehl" w:hint="cs"/>
          <w:b/>
          <w:bCs/>
          <w:color w:val="000000"/>
          <w:sz w:val="28"/>
          <w:szCs w:val="28"/>
          <w:rtl/>
        </w:rPr>
        <w:t xml:space="preserve">, </w:t>
      </w:r>
      <w:proofErr w:type="spellStart"/>
      <w:r>
        <w:rPr>
          <w:rFonts w:cs="FrankRuehl" w:hint="cs"/>
          <w:b/>
          <w:bCs/>
          <w:color w:val="000000"/>
          <w:sz w:val="28"/>
          <w:szCs w:val="28"/>
          <w:rtl/>
        </w:rPr>
        <w:t>פ''ד</w:t>
      </w:r>
      <w:proofErr w:type="spellEnd"/>
      <w:r>
        <w:rPr>
          <w:rFonts w:cs="FrankRuehl" w:hint="cs"/>
          <w:b/>
          <w:bCs/>
          <w:color w:val="000000"/>
          <w:sz w:val="28"/>
          <w:szCs w:val="28"/>
          <w:rtl/>
        </w:rPr>
        <w:t xml:space="preserve"> סה(2) 681</w:t>
      </w:r>
    </w:p>
    <w:p w:rsidR="00AA737C" w:rsidRDefault="00AA737C" w:rsidP="00DD4B6A">
      <w:pPr>
        <w:spacing w:line="360" w:lineRule="auto"/>
        <w:jc w:val="both"/>
        <w:rPr>
          <w:rFonts w:cs="David"/>
          <w:sz w:val="23"/>
          <w:szCs w:val="23"/>
          <w:rtl/>
        </w:rPr>
      </w:pPr>
    </w:p>
    <w:p w:rsidR="00AA737C" w:rsidRDefault="00AA737C" w:rsidP="00DD4B6A">
      <w:pPr>
        <w:spacing w:line="360" w:lineRule="auto"/>
        <w:jc w:val="both"/>
        <w:rPr>
          <w:rFonts w:cs="David"/>
          <w:sz w:val="23"/>
          <w:szCs w:val="23"/>
          <w:rtl/>
        </w:rPr>
      </w:pPr>
    </w:p>
    <w:p w:rsidR="00AA737C" w:rsidRDefault="00AA737C" w:rsidP="00DD4B6A">
      <w:pPr>
        <w:spacing w:line="360" w:lineRule="auto"/>
        <w:jc w:val="both"/>
        <w:rPr>
          <w:rFonts w:cs="David"/>
          <w:sz w:val="23"/>
          <w:szCs w:val="23"/>
          <w:rtl/>
        </w:rPr>
      </w:pPr>
    </w:p>
    <w:p w:rsidR="00AA737C" w:rsidRDefault="00AA737C" w:rsidP="00DD4B6A">
      <w:pPr>
        <w:spacing w:line="360" w:lineRule="auto"/>
        <w:jc w:val="both"/>
        <w:rPr>
          <w:rFonts w:cs="David"/>
          <w:sz w:val="23"/>
          <w:szCs w:val="23"/>
          <w:rtl/>
        </w:rPr>
      </w:pPr>
    </w:p>
    <w:p w:rsidR="00AA737C" w:rsidRPr="00DD4B6A" w:rsidRDefault="00AA737C" w:rsidP="00DD4B6A">
      <w:pPr>
        <w:spacing w:line="360" w:lineRule="auto"/>
        <w:jc w:val="both"/>
        <w:rPr>
          <w:rFonts w:cs="David"/>
          <w:sz w:val="23"/>
          <w:szCs w:val="23"/>
          <w:rtl/>
        </w:rPr>
      </w:pPr>
    </w:p>
    <w:p w:rsidR="00DD4B6A" w:rsidRPr="00DD4B6A" w:rsidRDefault="00DD4B6A" w:rsidP="00DD4B6A">
      <w:pPr>
        <w:pStyle w:val="p00"/>
        <w:bidi/>
        <w:spacing w:before="72" w:beforeAutospacing="0" w:after="0" w:afterAutospacing="0"/>
        <w:ind w:left="368" w:right="1134"/>
        <w:jc w:val="both"/>
        <w:rPr>
          <w:color w:val="000000"/>
          <w:sz w:val="16"/>
          <w:szCs w:val="16"/>
          <w:rtl/>
        </w:rPr>
      </w:pPr>
      <w:r>
        <w:rPr>
          <w:rStyle w:val="big-number"/>
          <w:rFonts w:cs="Miriam" w:hint="cs"/>
          <w:color w:val="000000"/>
          <w:sz w:val="32"/>
          <w:szCs w:val="32"/>
          <w:rtl/>
        </w:rPr>
        <w:lastRenderedPageBreak/>
        <w:t>16</w:t>
      </w:r>
      <w:r w:rsidRPr="00DD4B6A">
        <w:rPr>
          <w:rStyle w:val="default"/>
          <w:rFonts w:cs="FrankRuehl" w:hint="cs"/>
          <w:color w:val="000000"/>
          <w:sz w:val="16"/>
          <w:szCs w:val="16"/>
          <w:rtl/>
        </w:rPr>
        <w:t>.    (א)  מבקש, תובע מייצג או בא כוח מייצג, לא יסתלק מבקשה לאישור או מתובענה ייצוגית, אלא באישור בית המשפט, וכן לא יקבל, במישרין או בעקיפין, טובת הנאה מהנתבע או מאדם אחר בקשר להסתלקותו כאמור, אלא באישור בית המשפט; בהחלטתו אם לאשר טובת הנאה כאמור, ישקול בית המשפט את אלה:</w:t>
      </w:r>
    </w:p>
    <w:p w:rsidR="00DD4B6A" w:rsidRPr="00DD4B6A" w:rsidRDefault="00DD4B6A" w:rsidP="00DD4B6A">
      <w:pPr>
        <w:pStyle w:val="p00"/>
        <w:bidi/>
        <w:spacing w:before="72" w:beforeAutospacing="0" w:after="0" w:afterAutospacing="0"/>
        <w:ind w:left="368" w:right="1134"/>
        <w:jc w:val="both"/>
        <w:rPr>
          <w:color w:val="000000"/>
          <w:sz w:val="16"/>
          <w:szCs w:val="16"/>
          <w:rtl/>
        </w:rPr>
      </w:pPr>
      <w:r w:rsidRPr="00DD4B6A">
        <w:rPr>
          <w:rStyle w:val="default"/>
          <w:rFonts w:cs="FrankRuehl" w:hint="cs"/>
          <w:color w:val="000000"/>
          <w:sz w:val="16"/>
          <w:szCs w:val="16"/>
          <w:rtl/>
        </w:rPr>
        <w:t>(1)   אם הבקשה לאישור ההסתלקות הוגשה לפני שאושרה התובענה הייצוגית – האם התובענה הראתה עילת תביעה לכאורה;</w:t>
      </w:r>
    </w:p>
    <w:p w:rsidR="00DD4B6A" w:rsidRPr="00DD4B6A" w:rsidRDefault="00DD4B6A" w:rsidP="00DD4B6A">
      <w:pPr>
        <w:pStyle w:val="p00"/>
        <w:bidi/>
        <w:spacing w:before="72" w:beforeAutospacing="0" w:after="0" w:afterAutospacing="0"/>
        <w:ind w:left="368" w:right="1134"/>
        <w:jc w:val="both"/>
        <w:rPr>
          <w:color w:val="000000"/>
          <w:sz w:val="16"/>
          <w:szCs w:val="16"/>
          <w:rtl/>
        </w:rPr>
      </w:pPr>
      <w:r w:rsidRPr="00DD4B6A">
        <w:rPr>
          <w:rStyle w:val="default"/>
          <w:rFonts w:cs="FrankRuehl" w:hint="cs"/>
          <w:color w:val="000000"/>
          <w:sz w:val="16"/>
          <w:szCs w:val="16"/>
          <w:rtl/>
        </w:rPr>
        <w:t>(2)   התועלת שהביאה הבקשה לאישור או התובענה הייצוגית לחברי הקבוצה.</w:t>
      </w:r>
    </w:p>
    <w:p w:rsidR="00DD4B6A" w:rsidRPr="00DD4B6A" w:rsidRDefault="00DD4B6A" w:rsidP="00DD4B6A">
      <w:pPr>
        <w:pStyle w:val="p00"/>
        <w:bidi/>
        <w:spacing w:before="72" w:beforeAutospacing="0" w:after="0" w:afterAutospacing="0"/>
        <w:ind w:left="368" w:right="1134"/>
        <w:jc w:val="both"/>
        <w:rPr>
          <w:color w:val="000000"/>
          <w:sz w:val="16"/>
          <w:szCs w:val="16"/>
          <w:rtl/>
        </w:rPr>
      </w:pPr>
      <w:r w:rsidRPr="00DD4B6A">
        <w:rPr>
          <w:rStyle w:val="default"/>
          <w:rFonts w:cs="FrankRuehl" w:hint="cs"/>
          <w:color w:val="000000"/>
          <w:sz w:val="16"/>
          <w:szCs w:val="16"/>
          <w:rtl/>
        </w:rPr>
        <w:t>          (ב)  מבקש, תובע מייצג או בא כוח מייצג, המבקש להסתלק מבקשה לאישור או מתובענה ייצוגית, יצרף לבקשת ההסתלקות המוגשת לבית המשפט, תצהיר ובו יגלה, בגילוי נאות, את כל הפרטים המהותיים הנוגעים להסתלקות.</w:t>
      </w:r>
    </w:p>
    <w:p w:rsidR="00DD4B6A" w:rsidRPr="00DD4B6A" w:rsidRDefault="00DD4B6A" w:rsidP="00DD4B6A">
      <w:pPr>
        <w:pStyle w:val="p00"/>
        <w:bidi/>
        <w:spacing w:before="72" w:beforeAutospacing="0" w:after="0" w:afterAutospacing="0"/>
        <w:ind w:left="368" w:right="1134"/>
        <w:jc w:val="both"/>
        <w:rPr>
          <w:color w:val="000000"/>
          <w:sz w:val="16"/>
          <w:szCs w:val="16"/>
          <w:rtl/>
        </w:rPr>
      </w:pPr>
      <w:r w:rsidRPr="00DD4B6A">
        <w:rPr>
          <w:rStyle w:val="default"/>
          <w:rFonts w:cs="FrankRuehl" w:hint="cs"/>
          <w:color w:val="000000"/>
          <w:sz w:val="16"/>
          <w:szCs w:val="16"/>
          <w:rtl/>
        </w:rPr>
        <w:t xml:space="preserve">          (ג)   הסתלק מבקש, תובע מייצג או בא כוח מייצג מבקשה לאישור או מתובענה ייצוגית או שבית המשפט מצא שנבצר מאחד מאלה להמשיך בתפקידו בבקשה או בתובענה, לא יהיה בכך כדי להשפיע על המשך ניהול הבקשה לאישור או התובענה הייצוגית בידי מבקש אחר, תובע מייצג אחר או בא כוח מייצג אחר, לפי </w:t>
      </w:r>
      <w:proofErr w:type="spellStart"/>
      <w:r w:rsidRPr="00DD4B6A">
        <w:rPr>
          <w:rStyle w:val="default"/>
          <w:rFonts w:cs="FrankRuehl" w:hint="cs"/>
          <w:color w:val="000000"/>
          <w:sz w:val="16"/>
          <w:szCs w:val="16"/>
          <w:rtl/>
        </w:rPr>
        <w:t>הענין</w:t>
      </w:r>
      <w:proofErr w:type="spellEnd"/>
      <w:r w:rsidRPr="00DD4B6A">
        <w:rPr>
          <w:rStyle w:val="default"/>
          <w:rFonts w:cs="FrankRuehl" w:hint="cs"/>
          <w:color w:val="000000"/>
          <w:sz w:val="16"/>
          <w:szCs w:val="16"/>
          <w:rtl/>
        </w:rPr>
        <w:t>.</w:t>
      </w:r>
    </w:p>
    <w:p w:rsidR="00DD4B6A" w:rsidRPr="00DD4B6A" w:rsidRDefault="00DD4B6A" w:rsidP="00DD4B6A">
      <w:pPr>
        <w:pStyle w:val="p00"/>
        <w:bidi/>
        <w:spacing w:before="72" w:beforeAutospacing="0" w:after="0" w:afterAutospacing="0"/>
        <w:ind w:left="368" w:right="1134"/>
        <w:jc w:val="both"/>
        <w:rPr>
          <w:color w:val="000000"/>
          <w:sz w:val="16"/>
          <w:szCs w:val="16"/>
          <w:rtl/>
        </w:rPr>
      </w:pPr>
      <w:r w:rsidRPr="00DD4B6A">
        <w:rPr>
          <w:rStyle w:val="default"/>
          <w:rFonts w:cs="FrankRuehl" w:hint="cs"/>
          <w:color w:val="000000"/>
          <w:sz w:val="16"/>
          <w:szCs w:val="16"/>
          <w:rtl/>
        </w:rPr>
        <w:t xml:space="preserve">          (ד)  (1)   אישר בית המשפט את הסתלקותם של כל המבקשים או כל באי הכוח המייצגים מבקשה לאישור או שבית המשפט מצא שנבצר מהם להמשיך בתפקידם בבקשה לאישור, רשאי בית המשפט לקבוע כי ניתן להגיש בקשה למינוי תובע מייצג או בא כוח מייצג במקומם, לפי </w:t>
      </w:r>
      <w:proofErr w:type="spellStart"/>
      <w:r w:rsidRPr="00DD4B6A">
        <w:rPr>
          <w:rStyle w:val="default"/>
          <w:rFonts w:cs="FrankRuehl" w:hint="cs"/>
          <w:color w:val="000000"/>
          <w:sz w:val="16"/>
          <w:szCs w:val="16"/>
          <w:rtl/>
        </w:rPr>
        <w:t>הענין</w:t>
      </w:r>
      <w:proofErr w:type="spellEnd"/>
      <w:r w:rsidRPr="00DD4B6A">
        <w:rPr>
          <w:rStyle w:val="default"/>
          <w:rFonts w:cs="FrankRuehl" w:hint="cs"/>
          <w:color w:val="000000"/>
          <w:sz w:val="16"/>
          <w:szCs w:val="16"/>
          <w:rtl/>
        </w:rPr>
        <w:t xml:space="preserve">, בתוך תקופה שיקבע, וכן רשאי בית המשפט להורות על פרסום הודעה על כך, והכל אם מצא שהדבר מוצדק בנסיבות </w:t>
      </w:r>
      <w:proofErr w:type="spellStart"/>
      <w:r w:rsidRPr="00DD4B6A">
        <w:rPr>
          <w:rStyle w:val="default"/>
          <w:rFonts w:cs="FrankRuehl" w:hint="cs"/>
          <w:color w:val="000000"/>
          <w:sz w:val="16"/>
          <w:szCs w:val="16"/>
          <w:rtl/>
        </w:rPr>
        <w:t>הענין</w:t>
      </w:r>
      <w:proofErr w:type="spellEnd"/>
      <w:r w:rsidRPr="00DD4B6A">
        <w:rPr>
          <w:rStyle w:val="default"/>
          <w:rFonts w:cs="FrankRuehl" w:hint="cs"/>
          <w:color w:val="000000"/>
          <w:sz w:val="16"/>
          <w:szCs w:val="16"/>
          <w:rtl/>
        </w:rPr>
        <w:t xml:space="preserve"> ובהתחשב בשלב שבו מצוי הדיון בבקשה לאישור; בהודעה יצוין האמור בפסקה (4).</w:t>
      </w:r>
    </w:p>
    <w:p w:rsidR="00DD4B6A" w:rsidRPr="00DD4B6A" w:rsidRDefault="00DD4B6A" w:rsidP="00DD4B6A">
      <w:pPr>
        <w:pStyle w:val="p00"/>
        <w:bidi/>
        <w:spacing w:before="72" w:beforeAutospacing="0" w:after="0" w:afterAutospacing="0"/>
        <w:ind w:left="368" w:right="1134"/>
        <w:jc w:val="both"/>
        <w:rPr>
          <w:color w:val="000000"/>
          <w:sz w:val="16"/>
          <w:szCs w:val="16"/>
          <w:rtl/>
        </w:rPr>
      </w:pPr>
      <w:r w:rsidRPr="00DD4B6A">
        <w:rPr>
          <w:rStyle w:val="default"/>
          <w:rFonts w:cs="FrankRuehl" w:hint="cs"/>
          <w:color w:val="000000"/>
          <w:sz w:val="16"/>
          <w:szCs w:val="16"/>
          <w:rtl/>
        </w:rPr>
        <w:t xml:space="preserve">(2)   אישר בית המשפט את הסתלקותם של כל התובעים המייצגים או כל באי הכוח המייצגים מתובענה ייצוגית או שבית המשפט מצא שנבצר מהם להמשיך בתפקידם בתובענה ייצוגית, ולא הוגשה לבית המשפט, בתוך תקופה שקבע, בקשה למינוי תובע מייצג או בא כוח מייצג במקומם, לפי </w:t>
      </w:r>
      <w:proofErr w:type="spellStart"/>
      <w:r w:rsidRPr="00DD4B6A">
        <w:rPr>
          <w:rStyle w:val="default"/>
          <w:rFonts w:cs="FrankRuehl" w:hint="cs"/>
          <w:color w:val="000000"/>
          <w:sz w:val="16"/>
          <w:szCs w:val="16"/>
          <w:rtl/>
        </w:rPr>
        <w:t>הענין</w:t>
      </w:r>
      <w:proofErr w:type="spellEnd"/>
      <w:r w:rsidRPr="00DD4B6A">
        <w:rPr>
          <w:rStyle w:val="default"/>
          <w:rFonts w:cs="FrankRuehl" w:hint="cs"/>
          <w:color w:val="000000"/>
          <w:sz w:val="16"/>
          <w:szCs w:val="16"/>
          <w:rtl/>
        </w:rPr>
        <w:t>, יורה בית המשפט על פרסום הודעה על כך, בהתאם להוראות סעיף 25; בהודעה יצוין האמור בפסקה (4).</w:t>
      </w:r>
    </w:p>
    <w:p w:rsidR="00DD4B6A" w:rsidRPr="00DD4B6A" w:rsidRDefault="00DD4B6A" w:rsidP="00DD4B6A">
      <w:pPr>
        <w:pStyle w:val="p00"/>
        <w:bidi/>
        <w:spacing w:before="72" w:beforeAutospacing="0" w:after="0" w:afterAutospacing="0"/>
        <w:ind w:left="368" w:right="1134"/>
        <w:jc w:val="both"/>
        <w:rPr>
          <w:color w:val="000000"/>
          <w:sz w:val="16"/>
          <w:szCs w:val="16"/>
          <w:rtl/>
        </w:rPr>
      </w:pPr>
      <w:r w:rsidRPr="00DD4B6A">
        <w:rPr>
          <w:rStyle w:val="default"/>
          <w:rFonts w:cs="FrankRuehl" w:hint="cs"/>
          <w:color w:val="000000"/>
          <w:sz w:val="16"/>
          <w:szCs w:val="16"/>
          <w:rtl/>
        </w:rPr>
        <w:t>(3)   הודעה כאמור בפסקאות (1) או (2) תימסר למנהל בתי המשפט, לשם רישומה בפנקס.</w:t>
      </w:r>
    </w:p>
    <w:p w:rsidR="00DD4B6A" w:rsidRPr="00DD4B6A" w:rsidRDefault="00DD4B6A" w:rsidP="00DD4B6A">
      <w:pPr>
        <w:pStyle w:val="p00"/>
        <w:bidi/>
        <w:spacing w:before="72" w:beforeAutospacing="0" w:after="0" w:afterAutospacing="0"/>
        <w:ind w:left="368" w:right="1134"/>
        <w:jc w:val="both"/>
        <w:rPr>
          <w:color w:val="000000"/>
          <w:sz w:val="16"/>
          <w:szCs w:val="16"/>
          <w:rtl/>
        </w:rPr>
      </w:pPr>
      <w:r w:rsidRPr="00DD4B6A">
        <w:rPr>
          <w:rStyle w:val="default"/>
          <w:rFonts w:cs="FrankRuehl" w:hint="cs"/>
          <w:color w:val="000000"/>
          <w:sz w:val="16"/>
          <w:szCs w:val="16"/>
          <w:rtl/>
        </w:rPr>
        <w:t xml:space="preserve">(4)   הורה בית המשפט על פרסום הודעה כאמור בפסקאות (1) או (2), לפי </w:t>
      </w:r>
      <w:proofErr w:type="spellStart"/>
      <w:r w:rsidRPr="00DD4B6A">
        <w:rPr>
          <w:rStyle w:val="default"/>
          <w:rFonts w:cs="FrankRuehl" w:hint="cs"/>
          <w:color w:val="000000"/>
          <w:sz w:val="16"/>
          <w:szCs w:val="16"/>
          <w:rtl/>
        </w:rPr>
        <w:t>הענין</w:t>
      </w:r>
      <w:proofErr w:type="spellEnd"/>
      <w:r w:rsidRPr="00DD4B6A">
        <w:rPr>
          <w:rStyle w:val="default"/>
          <w:rFonts w:cs="FrankRuehl" w:hint="cs"/>
          <w:color w:val="000000"/>
          <w:sz w:val="16"/>
          <w:szCs w:val="16"/>
          <w:rtl/>
        </w:rPr>
        <w:t>, רשאי כל מי שהיה רשאי להגיש בקשה לאישור התובענה הייצוגית לפי הוראות סעיף 4(א), לבקש מבית המשפט, בתוך 45 ימים מיום הפרסום כאמור, למנותו כתובע המייצג בתובענה הייצוגית, וכן רשאי עורך דין, בתוך אותו מועד, לבקש מבית המשפט למנותו כבא כוח המייצג בתובענה; הוגשה בקשה למינוי כאמור לאחר שבית המשפט אישר תובענה ייצוגית, לא יאשר בית המשפט את הבקשה למינוי אלא אם כן מצא כי התקיימו התנאים המפורטים בסעיף 8(א)(3) ו-(4).</w:t>
      </w:r>
    </w:p>
    <w:p w:rsidR="00DD4B6A" w:rsidRPr="00DD4B6A" w:rsidRDefault="00DD4B6A" w:rsidP="00DD4B6A">
      <w:pPr>
        <w:pStyle w:val="p00"/>
        <w:bidi/>
        <w:spacing w:before="72" w:beforeAutospacing="0" w:after="0" w:afterAutospacing="0"/>
        <w:ind w:left="368" w:right="1134"/>
        <w:jc w:val="both"/>
        <w:rPr>
          <w:color w:val="000000"/>
          <w:sz w:val="16"/>
          <w:szCs w:val="16"/>
          <w:rtl/>
        </w:rPr>
      </w:pPr>
      <w:r w:rsidRPr="00DD4B6A">
        <w:rPr>
          <w:rStyle w:val="default"/>
          <w:rFonts w:cs="FrankRuehl" w:hint="cs"/>
          <w:color w:val="000000"/>
          <w:sz w:val="16"/>
          <w:szCs w:val="16"/>
          <w:rtl/>
        </w:rPr>
        <w:t xml:space="preserve">(5)   אישר בית המשפט את הסתלקותם של כל המבקשים, כל התובעים המייצגים או כל באי הכוח המייצגים או שמצא כי נבצר מהם להמשיך בתפקידם, כאמור בפסקאות (1) או (2), לפי </w:t>
      </w:r>
      <w:proofErr w:type="spellStart"/>
      <w:r w:rsidRPr="00DD4B6A">
        <w:rPr>
          <w:rStyle w:val="default"/>
          <w:rFonts w:cs="FrankRuehl" w:hint="cs"/>
          <w:color w:val="000000"/>
          <w:sz w:val="16"/>
          <w:szCs w:val="16"/>
          <w:rtl/>
        </w:rPr>
        <w:t>הענין</w:t>
      </w:r>
      <w:proofErr w:type="spellEnd"/>
      <w:r w:rsidRPr="00DD4B6A">
        <w:rPr>
          <w:rStyle w:val="default"/>
          <w:rFonts w:cs="FrankRuehl" w:hint="cs"/>
          <w:color w:val="000000"/>
          <w:sz w:val="16"/>
          <w:szCs w:val="16"/>
          <w:rtl/>
        </w:rPr>
        <w:t xml:space="preserve">, ולא הוגשה בקשה למינוי תובע מייצג או בא כוח מייצג לפי הוראות סעיף קטן זה, או שהוגשה בקשה כאמור ולא אושרה, יורה בית המשפט על מחיקת הבקשה לאישור או התובענה הייצוגית, לפי </w:t>
      </w:r>
      <w:proofErr w:type="spellStart"/>
      <w:r w:rsidRPr="00DD4B6A">
        <w:rPr>
          <w:rStyle w:val="default"/>
          <w:rFonts w:cs="FrankRuehl" w:hint="cs"/>
          <w:color w:val="000000"/>
          <w:sz w:val="16"/>
          <w:szCs w:val="16"/>
          <w:rtl/>
        </w:rPr>
        <w:t>הענין</w:t>
      </w:r>
      <w:proofErr w:type="spellEnd"/>
      <w:r w:rsidRPr="00DD4B6A">
        <w:rPr>
          <w:rStyle w:val="default"/>
          <w:rFonts w:cs="FrankRuehl" w:hint="cs"/>
          <w:color w:val="000000"/>
          <w:sz w:val="16"/>
          <w:szCs w:val="16"/>
          <w:rtl/>
        </w:rPr>
        <w:t>.</w:t>
      </w:r>
    </w:p>
    <w:p w:rsidR="00DD4B6A" w:rsidRPr="00DD4B6A" w:rsidRDefault="00DD4B6A" w:rsidP="00DD4B6A">
      <w:pPr>
        <w:pStyle w:val="p00"/>
        <w:bidi/>
        <w:spacing w:before="72" w:beforeAutospacing="0" w:after="0" w:afterAutospacing="0"/>
        <w:ind w:left="368" w:right="1134"/>
        <w:jc w:val="both"/>
        <w:rPr>
          <w:color w:val="000000"/>
          <w:sz w:val="16"/>
          <w:szCs w:val="16"/>
          <w:rtl/>
        </w:rPr>
      </w:pPr>
      <w:r w:rsidRPr="00DD4B6A">
        <w:rPr>
          <w:rStyle w:val="default"/>
          <w:rFonts w:cs="FrankRuehl" w:hint="cs"/>
          <w:color w:val="000000"/>
          <w:sz w:val="16"/>
          <w:szCs w:val="16"/>
          <w:rtl/>
        </w:rPr>
        <w:t>          (ה)  הוראות סעיף זה, למעט הוראת סעיף קטן (ד)(5), יחולו, בשינויים המחויבים, גם על מבקש, תובע מייצג או בא כוח מייצג מטעם תת-קבוצה.</w:t>
      </w:r>
    </w:p>
    <w:p w:rsidR="00DD4B6A" w:rsidRDefault="00DD4B6A" w:rsidP="00DD4B6A">
      <w:pPr>
        <w:spacing w:line="360" w:lineRule="auto"/>
        <w:jc w:val="both"/>
        <w:rPr>
          <w:rFonts w:cs="David"/>
          <w:rtl/>
        </w:rPr>
      </w:pPr>
    </w:p>
    <w:p w:rsidR="00103194" w:rsidRPr="00103194" w:rsidRDefault="00103194" w:rsidP="00103194">
      <w:pPr>
        <w:pStyle w:val="p00"/>
        <w:bidi/>
        <w:spacing w:before="72" w:beforeAutospacing="0" w:after="0" w:afterAutospacing="0"/>
        <w:ind w:right="1134"/>
        <w:rPr>
          <w:color w:val="000000"/>
          <w:sz w:val="18"/>
          <w:szCs w:val="18"/>
        </w:rPr>
      </w:pPr>
      <w:r w:rsidRPr="00103194">
        <w:rPr>
          <w:rStyle w:val="big-number"/>
          <w:rFonts w:ascii="Time New Roman" w:hAnsi="Time New Roman"/>
          <w:b/>
          <w:bCs/>
          <w:color w:val="008000"/>
          <w:sz w:val="18"/>
          <w:szCs w:val="18"/>
          <w:rtl/>
        </w:rPr>
        <w:t>גמול לתובע מייצג</w:t>
      </w:r>
    </w:p>
    <w:p w:rsidR="00103194" w:rsidRPr="00103194" w:rsidRDefault="00103194" w:rsidP="00103194">
      <w:pPr>
        <w:pStyle w:val="p00"/>
        <w:bidi/>
        <w:spacing w:before="72" w:beforeAutospacing="0" w:after="0" w:afterAutospacing="0"/>
        <w:ind w:right="1134"/>
        <w:jc w:val="both"/>
        <w:rPr>
          <w:color w:val="000000"/>
          <w:sz w:val="18"/>
          <w:szCs w:val="18"/>
          <w:rtl/>
        </w:rPr>
      </w:pPr>
      <w:r w:rsidRPr="00103194">
        <w:rPr>
          <w:rStyle w:val="big-number"/>
          <w:rFonts w:cs="Miriam" w:hint="cs"/>
          <w:color w:val="000000"/>
          <w:sz w:val="18"/>
          <w:szCs w:val="18"/>
          <w:rtl/>
        </w:rPr>
        <w:t>22</w:t>
      </w:r>
      <w:r w:rsidRPr="00103194">
        <w:rPr>
          <w:rStyle w:val="default"/>
          <w:rFonts w:cs="FrankRuehl" w:hint="cs"/>
          <w:color w:val="000000"/>
          <w:sz w:val="18"/>
          <w:szCs w:val="18"/>
          <w:rtl/>
        </w:rPr>
        <w:t xml:space="preserve">.    (א)  הכריע בית המשפט בתובענה הייצוגית, כולה או חלקה, לטובת הקבוצה, כולה או חלקה, לרבות בדרך של אישור הסדר פשרה, יורה על תשלום גמול לתובע המייצג, בהתחשב בשיקולים כאמור בסעיף קטן (ב), אלא אם כן מצא, מטעמים מיוחדים שיירשמו, שהדבר אינו מוצדק בנסיבות </w:t>
      </w:r>
      <w:proofErr w:type="spellStart"/>
      <w:r w:rsidRPr="00103194">
        <w:rPr>
          <w:rStyle w:val="default"/>
          <w:rFonts w:cs="FrankRuehl" w:hint="cs"/>
          <w:color w:val="000000"/>
          <w:sz w:val="18"/>
          <w:szCs w:val="18"/>
          <w:rtl/>
        </w:rPr>
        <w:t>הענין</w:t>
      </w:r>
      <w:proofErr w:type="spellEnd"/>
      <w:r w:rsidRPr="00103194">
        <w:rPr>
          <w:rStyle w:val="default"/>
          <w:rFonts w:cs="FrankRuehl" w:hint="cs"/>
          <w:color w:val="000000"/>
          <w:sz w:val="18"/>
          <w:szCs w:val="18"/>
          <w:rtl/>
        </w:rPr>
        <w:t>.</w:t>
      </w:r>
    </w:p>
    <w:p w:rsidR="00103194" w:rsidRPr="00103194" w:rsidRDefault="00103194" w:rsidP="00103194">
      <w:pPr>
        <w:pStyle w:val="p00"/>
        <w:bidi/>
        <w:spacing w:before="72" w:beforeAutospacing="0" w:after="0" w:afterAutospacing="0"/>
        <w:ind w:right="1134"/>
        <w:jc w:val="both"/>
        <w:rPr>
          <w:color w:val="000000"/>
          <w:sz w:val="18"/>
          <w:szCs w:val="18"/>
          <w:rtl/>
        </w:rPr>
      </w:pPr>
      <w:r w:rsidRPr="00103194">
        <w:rPr>
          <w:rStyle w:val="default"/>
          <w:rFonts w:cs="FrankRuehl" w:hint="cs"/>
          <w:color w:val="000000"/>
          <w:sz w:val="18"/>
          <w:szCs w:val="18"/>
          <w:rtl/>
        </w:rPr>
        <w:t>          (ב)  בקביעת שיעור הגמול יתחשב בית המשפט, בין השאר, בשיקולים אלה:</w:t>
      </w:r>
    </w:p>
    <w:p w:rsidR="00103194" w:rsidRPr="00103194" w:rsidRDefault="00103194" w:rsidP="00103194">
      <w:pPr>
        <w:pStyle w:val="p00"/>
        <w:bidi/>
        <w:spacing w:before="72" w:beforeAutospacing="0" w:after="0" w:afterAutospacing="0"/>
        <w:ind w:left="1021" w:right="1134"/>
        <w:jc w:val="both"/>
        <w:rPr>
          <w:color w:val="000000"/>
          <w:sz w:val="18"/>
          <w:szCs w:val="18"/>
          <w:rtl/>
        </w:rPr>
      </w:pPr>
      <w:r w:rsidRPr="00103194">
        <w:rPr>
          <w:rStyle w:val="default"/>
          <w:rFonts w:cs="FrankRuehl" w:hint="cs"/>
          <w:color w:val="000000"/>
          <w:sz w:val="18"/>
          <w:szCs w:val="18"/>
          <w:rtl/>
        </w:rPr>
        <w:t>(1)   הטרחה שטרח התובע המייצג והסיכון שנטל על עצמו בהגשת התובענה הייצוגית ובניהולה, בפרט אם הסעד המבוקש בתובענה הוא סעד הצהרתי;</w:t>
      </w:r>
    </w:p>
    <w:p w:rsidR="00103194" w:rsidRPr="00103194" w:rsidRDefault="00103194" w:rsidP="00103194">
      <w:pPr>
        <w:pStyle w:val="p00"/>
        <w:bidi/>
        <w:spacing w:before="72" w:beforeAutospacing="0" w:after="0" w:afterAutospacing="0"/>
        <w:ind w:left="1021" w:right="1134"/>
        <w:jc w:val="both"/>
        <w:rPr>
          <w:color w:val="000000"/>
          <w:sz w:val="18"/>
          <w:szCs w:val="18"/>
          <w:rtl/>
        </w:rPr>
      </w:pPr>
      <w:r w:rsidRPr="00103194">
        <w:rPr>
          <w:rStyle w:val="default"/>
          <w:rFonts w:cs="FrankRuehl" w:hint="cs"/>
          <w:color w:val="000000"/>
          <w:sz w:val="18"/>
          <w:szCs w:val="18"/>
          <w:rtl/>
        </w:rPr>
        <w:t>(2)   התועלת שהביאה התובענה הייצוגית לחברי הקבוצה;</w:t>
      </w:r>
    </w:p>
    <w:p w:rsidR="00103194" w:rsidRPr="00103194" w:rsidRDefault="00103194" w:rsidP="00103194">
      <w:pPr>
        <w:pStyle w:val="p00"/>
        <w:bidi/>
        <w:spacing w:before="72" w:beforeAutospacing="0" w:after="0" w:afterAutospacing="0"/>
        <w:ind w:left="1021" w:right="1134"/>
        <w:jc w:val="both"/>
        <w:rPr>
          <w:color w:val="000000"/>
          <w:sz w:val="18"/>
          <w:szCs w:val="18"/>
          <w:rtl/>
        </w:rPr>
      </w:pPr>
      <w:r w:rsidRPr="00103194">
        <w:rPr>
          <w:rStyle w:val="default"/>
          <w:rFonts w:cs="FrankRuehl" w:hint="cs"/>
          <w:color w:val="000000"/>
          <w:sz w:val="18"/>
          <w:szCs w:val="18"/>
          <w:rtl/>
        </w:rPr>
        <w:t>(3)   מידת החשיבות הציבורית של התובענה הייצוגית.</w:t>
      </w:r>
    </w:p>
    <w:p w:rsidR="00103194" w:rsidRPr="00103194" w:rsidRDefault="00103194" w:rsidP="00103194">
      <w:pPr>
        <w:pStyle w:val="p00"/>
        <w:bidi/>
        <w:spacing w:before="72" w:beforeAutospacing="0" w:after="0" w:afterAutospacing="0"/>
        <w:ind w:right="1134"/>
        <w:jc w:val="both"/>
        <w:rPr>
          <w:color w:val="000000"/>
          <w:sz w:val="18"/>
          <w:szCs w:val="18"/>
          <w:rtl/>
        </w:rPr>
      </w:pPr>
      <w:r w:rsidRPr="00103194">
        <w:rPr>
          <w:rStyle w:val="default"/>
          <w:rFonts w:cs="FrankRuehl" w:hint="cs"/>
          <w:color w:val="000000"/>
          <w:sz w:val="18"/>
          <w:szCs w:val="18"/>
          <w:rtl/>
        </w:rPr>
        <w:t>          (ג)   בית המשפט רשאי, במקרים מיוחדים ומטעמים מיוחדים שיירשמו –</w:t>
      </w:r>
    </w:p>
    <w:p w:rsidR="00103194" w:rsidRPr="00103194" w:rsidRDefault="00103194" w:rsidP="00103194">
      <w:pPr>
        <w:pStyle w:val="p00"/>
        <w:bidi/>
        <w:spacing w:before="72" w:beforeAutospacing="0" w:after="0" w:afterAutospacing="0"/>
        <w:ind w:left="1021" w:right="1134"/>
        <w:jc w:val="both"/>
        <w:rPr>
          <w:color w:val="000000"/>
          <w:sz w:val="18"/>
          <w:szCs w:val="18"/>
          <w:rtl/>
        </w:rPr>
      </w:pPr>
      <w:r w:rsidRPr="00103194">
        <w:rPr>
          <w:rStyle w:val="default"/>
          <w:rFonts w:cs="FrankRuehl" w:hint="cs"/>
          <w:color w:val="000000"/>
          <w:sz w:val="18"/>
          <w:szCs w:val="18"/>
          <w:rtl/>
        </w:rPr>
        <w:t xml:space="preserve">(1)   לפסוק גמול למבקש או לתובע המייצג אף אם לא אושרה התובענה הייצוגית או שלא ניתנה הכרעה בתובענה הייצוגית לטובת הקבוצה, לפי </w:t>
      </w:r>
      <w:proofErr w:type="spellStart"/>
      <w:r w:rsidRPr="00103194">
        <w:rPr>
          <w:rStyle w:val="default"/>
          <w:rFonts w:cs="FrankRuehl" w:hint="cs"/>
          <w:color w:val="000000"/>
          <w:sz w:val="18"/>
          <w:szCs w:val="18"/>
          <w:rtl/>
        </w:rPr>
        <w:t>הענין</w:t>
      </w:r>
      <w:proofErr w:type="spellEnd"/>
      <w:r w:rsidRPr="00103194">
        <w:rPr>
          <w:rStyle w:val="default"/>
          <w:rFonts w:cs="FrankRuehl" w:hint="cs"/>
          <w:color w:val="000000"/>
          <w:sz w:val="18"/>
          <w:szCs w:val="18"/>
          <w:rtl/>
        </w:rPr>
        <w:t>, בהתחשב בשיקולים כאמור בסעיף קטן (ב);</w:t>
      </w:r>
    </w:p>
    <w:p w:rsidR="00103194" w:rsidRPr="00103194" w:rsidRDefault="00103194" w:rsidP="00103194">
      <w:pPr>
        <w:pStyle w:val="p00"/>
        <w:bidi/>
        <w:spacing w:before="72" w:beforeAutospacing="0" w:after="0" w:afterAutospacing="0"/>
        <w:ind w:left="1021" w:right="1134"/>
        <w:jc w:val="both"/>
        <w:rPr>
          <w:color w:val="000000"/>
          <w:sz w:val="18"/>
          <w:szCs w:val="18"/>
          <w:rtl/>
        </w:rPr>
      </w:pPr>
      <w:r w:rsidRPr="00103194">
        <w:rPr>
          <w:rStyle w:val="default"/>
          <w:rFonts w:cs="FrankRuehl" w:hint="cs"/>
          <w:color w:val="000000"/>
          <w:sz w:val="18"/>
          <w:szCs w:val="18"/>
          <w:rtl/>
        </w:rPr>
        <w:t>(2)   לפסוק גמול לארגון שהשתתף בדיונים בתובענה הייצוגית לפי הוראות סעיף 15, אם מצא שהדבר מוצדק לאור הטרחה שטרח והתרומה שתרם בהשתתפותו בדיונים כאמור.</w:t>
      </w:r>
    </w:p>
    <w:p w:rsidR="00103194" w:rsidRPr="00103194" w:rsidRDefault="00103194" w:rsidP="00103194">
      <w:pPr>
        <w:pStyle w:val="p00"/>
        <w:bidi/>
        <w:spacing w:before="72" w:beforeAutospacing="0" w:after="0" w:afterAutospacing="0"/>
        <w:ind w:right="1134"/>
        <w:rPr>
          <w:color w:val="000000"/>
          <w:sz w:val="18"/>
          <w:szCs w:val="18"/>
          <w:rtl/>
        </w:rPr>
      </w:pPr>
      <w:bookmarkStart w:id="1" w:name="Seif21"/>
      <w:bookmarkEnd w:id="1"/>
      <w:r w:rsidRPr="00103194">
        <w:rPr>
          <w:rStyle w:val="big-number"/>
          <w:rFonts w:ascii="Time New Roman" w:hAnsi="Time New Roman"/>
          <w:b/>
          <w:bCs/>
          <w:color w:val="008000"/>
          <w:sz w:val="18"/>
          <w:szCs w:val="18"/>
          <w:rtl/>
        </w:rPr>
        <w:t>שכר טרחה של בא כוח מייצג</w:t>
      </w:r>
    </w:p>
    <w:p w:rsidR="00103194" w:rsidRPr="00103194" w:rsidRDefault="00103194" w:rsidP="00103194">
      <w:pPr>
        <w:pStyle w:val="p00"/>
        <w:bidi/>
        <w:spacing w:before="72" w:beforeAutospacing="0" w:after="0" w:afterAutospacing="0"/>
        <w:ind w:right="1134"/>
        <w:jc w:val="both"/>
        <w:rPr>
          <w:color w:val="000000"/>
          <w:sz w:val="18"/>
          <w:szCs w:val="18"/>
          <w:rtl/>
        </w:rPr>
      </w:pPr>
      <w:r w:rsidRPr="00103194">
        <w:rPr>
          <w:rStyle w:val="big-number"/>
          <w:rFonts w:cs="Miriam" w:hint="cs"/>
          <w:color w:val="000000"/>
          <w:sz w:val="18"/>
          <w:szCs w:val="18"/>
          <w:rtl/>
        </w:rPr>
        <w:t>23</w:t>
      </w:r>
      <w:r w:rsidRPr="00103194">
        <w:rPr>
          <w:rStyle w:val="default"/>
          <w:rFonts w:cs="FrankRuehl" w:hint="cs"/>
          <w:color w:val="000000"/>
          <w:sz w:val="18"/>
          <w:szCs w:val="18"/>
          <w:rtl/>
        </w:rPr>
        <w:t>.    (א)  בית המשפט יקבע את שכר הטרחה של בא הכוח המייצג בעד הטיפול בתובענה הייצוגית, לרבות בבקשה לאישור; בא הכוח המייצג לא יקבל שכר טרחה בסכום העולה על הסכום שקבע בית המשפט כאמור.</w:t>
      </w:r>
    </w:p>
    <w:p w:rsidR="00103194" w:rsidRPr="00103194" w:rsidRDefault="00103194" w:rsidP="00103194">
      <w:pPr>
        <w:pStyle w:val="p00"/>
        <w:bidi/>
        <w:spacing w:before="72" w:beforeAutospacing="0" w:after="0" w:afterAutospacing="0"/>
        <w:ind w:right="1134"/>
        <w:jc w:val="both"/>
        <w:rPr>
          <w:color w:val="000000"/>
          <w:sz w:val="18"/>
          <w:szCs w:val="18"/>
          <w:rtl/>
        </w:rPr>
      </w:pPr>
      <w:r w:rsidRPr="00103194">
        <w:rPr>
          <w:rStyle w:val="default"/>
          <w:rFonts w:cs="FrankRuehl" w:hint="cs"/>
          <w:color w:val="000000"/>
          <w:sz w:val="18"/>
          <w:szCs w:val="18"/>
          <w:rtl/>
        </w:rPr>
        <w:t>          (ב)  בקביעת שיעור שכר הטרחה של בא כוח מייצג לפי סעיף קטן (א), יתחשב בית המשפט, בין השאר, בשיקולים אלה:</w:t>
      </w:r>
    </w:p>
    <w:p w:rsidR="00103194" w:rsidRPr="00103194" w:rsidRDefault="00103194" w:rsidP="00103194">
      <w:pPr>
        <w:pStyle w:val="p00"/>
        <w:bidi/>
        <w:spacing w:before="72" w:beforeAutospacing="0" w:after="0" w:afterAutospacing="0"/>
        <w:ind w:left="1021" w:right="1134"/>
        <w:jc w:val="both"/>
        <w:rPr>
          <w:color w:val="000000"/>
          <w:sz w:val="18"/>
          <w:szCs w:val="18"/>
          <w:rtl/>
        </w:rPr>
      </w:pPr>
      <w:r w:rsidRPr="00103194">
        <w:rPr>
          <w:rStyle w:val="default"/>
          <w:rFonts w:cs="FrankRuehl" w:hint="cs"/>
          <w:color w:val="000000"/>
          <w:sz w:val="18"/>
          <w:szCs w:val="18"/>
          <w:rtl/>
        </w:rPr>
        <w:t>(1)   התועלת שהביאה התובענה הייצוגית לחברי הקבוצה;</w:t>
      </w:r>
    </w:p>
    <w:p w:rsidR="00103194" w:rsidRPr="00103194" w:rsidRDefault="00103194" w:rsidP="00103194">
      <w:pPr>
        <w:pStyle w:val="p00"/>
        <w:bidi/>
        <w:spacing w:before="72" w:beforeAutospacing="0" w:after="0" w:afterAutospacing="0"/>
        <w:ind w:left="1021" w:right="1134"/>
        <w:jc w:val="both"/>
        <w:rPr>
          <w:color w:val="000000"/>
          <w:sz w:val="18"/>
          <w:szCs w:val="18"/>
          <w:rtl/>
        </w:rPr>
      </w:pPr>
      <w:r w:rsidRPr="00103194">
        <w:rPr>
          <w:rStyle w:val="default"/>
          <w:rFonts w:cs="FrankRuehl" w:hint="cs"/>
          <w:color w:val="000000"/>
          <w:sz w:val="18"/>
          <w:szCs w:val="18"/>
          <w:rtl/>
        </w:rPr>
        <w:t>(2)   מורכבות ההליך, הטרחה שטרח בא הכוח המייצג והסיכון שנטל על עצמו בהגשת התובענה הייצוגית ובניהולה, וכן ההוצאות שהוציא לשם כך;</w:t>
      </w:r>
    </w:p>
    <w:p w:rsidR="00103194" w:rsidRPr="00103194" w:rsidRDefault="00103194" w:rsidP="00103194">
      <w:pPr>
        <w:pStyle w:val="p00"/>
        <w:bidi/>
        <w:spacing w:before="72" w:beforeAutospacing="0" w:after="0" w:afterAutospacing="0"/>
        <w:ind w:left="1021" w:right="1134"/>
        <w:jc w:val="both"/>
        <w:rPr>
          <w:color w:val="000000"/>
          <w:sz w:val="18"/>
          <w:szCs w:val="18"/>
          <w:rtl/>
        </w:rPr>
      </w:pPr>
      <w:r w:rsidRPr="00103194">
        <w:rPr>
          <w:rStyle w:val="default"/>
          <w:rFonts w:cs="FrankRuehl" w:hint="cs"/>
          <w:color w:val="000000"/>
          <w:sz w:val="18"/>
          <w:szCs w:val="18"/>
          <w:rtl/>
        </w:rPr>
        <w:t>(3)   מידת החשיבות הציבורית של התובענה הייצוגית;</w:t>
      </w:r>
    </w:p>
    <w:p w:rsidR="00103194" w:rsidRPr="00103194" w:rsidRDefault="00103194" w:rsidP="00103194">
      <w:pPr>
        <w:pStyle w:val="p00"/>
        <w:bidi/>
        <w:spacing w:before="72" w:beforeAutospacing="0" w:after="0" w:afterAutospacing="0"/>
        <w:ind w:left="1021" w:right="1134"/>
        <w:jc w:val="both"/>
        <w:rPr>
          <w:color w:val="000000"/>
          <w:sz w:val="18"/>
          <w:szCs w:val="18"/>
          <w:rtl/>
        </w:rPr>
      </w:pPr>
      <w:r w:rsidRPr="00103194">
        <w:rPr>
          <w:rStyle w:val="default"/>
          <w:rFonts w:cs="FrankRuehl" w:hint="cs"/>
          <w:color w:val="000000"/>
          <w:sz w:val="18"/>
          <w:szCs w:val="18"/>
          <w:rtl/>
        </w:rPr>
        <w:t>(4)   האופן שבו ניהל בא הכוח המייצג את ההליך;</w:t>
      </w:r>
    </w:p>
    <w:p w:rsidR="00103194" w:rsidRPr="00103194" w:rsidRDefault="00103194" w:rsidP="00103194">
      <w:pPr>
        <w:pStyle w:val="p00"/>
        <w:bidi/>
        <w:spacing w:before="72" w:beforeAutospacing="0" w:after="0" w:afterAutospacing="0"/>
        <w:ind w:left="1021" w:right="1134"/>
        <w:jc w:val="both"/>
        <w:rPr>
          <w:color w:val="000000"/>
          <w:sz w:val="18"/>
          <w:szCs w:val="18"/>
          <w:rtl/>
        </w:rPr>
      </w:pPr>
      <w:r w:rsidRPr="00103194">
        <w:rPr>
          <w:rStyle w:val="default"/>
          <w:rFonts w:cs="FrankRuehl" w:hint="cs"/>
          <w:color w:val="000000"/>
          <w:sz w:val="18"/>
          <w:szCs w:val="18"/>
          <w:rtl/>
        </w:rPr>
        <w:t>(5)   הפער שבין הסעדים הנתבעים בבקשה לאישור לבין הסעדים שפסק בית המשפט בתובענה הייצוגית.</w:t>
      </w:r>
    </w:p>
    <w:p w:rsidR="00103194" w:rsidRPr="00103194" w:rsidRDefault="00103194" w:rsidP="00103194">
      <w:pPr>
        <w:pStyle w:val="p00"/>
        <w:bidi/>
        <w:spacing w:before="72" w:beforeAutospacing="0" w:after="0" w:afterAutospacing="0"/>
        <w:ind w:right="1134"/>
        <w:jc w:val="both"/>
        <w:rPr>
          <w:color w:val="000000"/>
          <w:sz w:val="18"/>
          <w:szCs w:val="18"/>
          <w:rtl/>
        </w:rPr>
      </w:pPr>
      <w:r w:rsidRPr="00103194">
        <w:rPr>
          <w:rStyle w:val="default"/>
          <w:rFonts w:cs="FrankRuehl" w:hint="cs"/>
          <w:color w:val="000000"/>
          <w:sz w:val="18"/>
          <w:szCs w:val="18"/>
          <w:rtl/>
        </w:rPr>
        <w:t xml:space="preserve">          (ג)   בית המשפט רשאי לקבוע לבא כוח מייצג שכר טרחה חלקי על חשבון שכר הטרחה הכולל, אף בטרם הסתיים הליך הבירור של התובענה הייצוגית, אם מצא שהדבר מוצדק בנסיבות </w:t>
      </w:r>
      <w:proofErr w:type="spellStart"/>
      <w:r w:rsidRPr="00103194">
        <w:rPr>
          <w:rStyle w:val="default"/>
          <w:rFonts w:cs="FrankRuehl" w:hint="cs"/>
          <w:color w:val="000000"/>
          <w:sz w:val="18"/>
          <w:szCs w:val="18"/>
          <w:rtl/>
        </w:rPr>
        <w:t>הענין</w:t>
      </w:r>
      <w:proofErr w:type="spellEnd"/>
      <w:r w:rsidRPr="00103194">
        <w:rPr>
          <w:rStyle w:val="default"/>
          <w:rFonts w:cs="FrankRuehl" w:hint="cs"/>
          <w:color w:val="000000"/>
          <w:sz w:val="18"/>
          <w:szCs w:val="18"/>
          <w:rtl/>
        </w:rPr>
        <w:t>, וככל הניתן, בהתחשב בשיקולים כאמור בסעיף קטן (ב).</w:t>
      </w:r>
    </w:p>
    <w:p w:rsidR="00103194" w:rsidRDefault="00103194" w:rsidP="00DD4B6A">
      <w:pPr>
        <w:spacing w:line="360" w:lineRule="auto"/>
        <w:jc w:val="both"/>
        <w:rPr>
          <w:rFonts w:cs="David"/>
          <w:rtl/>
        </w:rPr>
      </w:pPr>
    </w:p>
    <w:p w:rsidR="00103194" w:rsidRDefault="00103194" w:rsidP="00DD4B6A">
      <w:pPr>
        <w:spacing w:line="360" w:lineRule="auto"/>
        <w:jc w:val="both"/>
        <w:rPr>
          <w:rFonts w:cs="David"/>
          <w:rtl/>
        </w:rPr>
      </w:pPr>
    </w:p>
    <w:p w:rsidR="00103194" w:rsidRDefault="00103194" w:rsidP="00DD4B6A">
      <w:pPr>
        <w:spacing w:line="360" w:lineRule="auto"/>
        <w:jc w:val="both"/>
        <w:rPr>
          <w:rFonts w:cs="David"/>
          <w:rtl/>
        </w:rPr>
      </w:pPr>
    </w:p>
    <w:p w:rsidR="00103194" w:rsidRDefault="00103194" w:rsidP="00DD4B6A">
      <w:pPr>
        <w:spacing w:line="360" w:lineRule="auto"/>
        <w:jc w:val="both"/>
        <w:rPr>
          <w:rFonts w:cs="David"/>
          <w:rtl/>
        </w:rPr>
      </w:pPr>
    </w:p>
    <w:sectPr w:rsidR="00103194" w:rsidSect="00661EA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B2025"/>
    <w:multiLevelType w:val="hybridMultilevel"/>
    <w:tmpl w:val="52EA43EA"/>
    <w:lvl w:ilvl="0" w:tplc="AC8A9D4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055F61"/>
    <w:multiLevelType w:val="hybridMultilevel"/>
    <w:tmpl w:val="D0026090"/>
    <w:lvl w:ilvl="0" w:tplc="ACFA9A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C70CBD"/>
    <w:multiLevelType w:val="hybridMultilevel"/>
    <w:tmpl w:val="51E645CA"/>
    <w:lvl w:ilvl="0" w:tplc="89004F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6A"/>
    <w:rsid w:val="00103194"/>
    <w:rsid w:val="004004B3"/>
    <w:rsid w:val="005A5033"/>
    <w:rsid w:val="00661EAA"/>
    <w:rsid w:val="00680EE7"/>
    <w:rsid w:val="0091662C"/>
    <w:rsid w:val="00AA737C"/>
    <w:rsid w:val="00C93304"/>
    <w:rsid w:val="00DD4B6A"/>
    <w:rsid w:val="00F230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C0692E-5284-4E77-90E4-7E3DCE20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B6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B6A"/>
    <w:pPr>
      <w:ind w:left="720"/>
      <w:contextualSpacing/>
    </w:pPr>
  </w:style>
  <w:style w:type="paragraph" w:styleId="a4">
    <w:name w:val="header"/>
    <w:basedOn w:val="a"/>
    <w:link w:val="a5"/>
    <w:uiPriority w:val="99"/>
    <w:semiHidden/>
    <w:unhideWhenUsed/>
    <w:rsid w:val="00DD4B6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כותרת עליונה תו"/>
    <w:basedOn w:val="a0"/>
    <w:link w:val="a4"/>
    <w:uiPriority w:val="99"/>
    <w:semiHidden/>
    <w:rsid w:val="00DD4B6A"/>
    <w:rPr>
      <w:rFonts w:ascii="Times New Roman" w:eastAsia="Times New Roman" w:hAnsi="Times New Roman" w:cs="Times New Roman"/>
      <w:sz w:val="24"/>
      <w:szCs w:val="24"/>
    </w:rPr>
  </w:style>
  <w:style w:type="paragraph" w:customStyle="1" w:styleId="p00">
    <w:name w:val="p00"/>
    <w:basedOn w:val="a"/>
    <w:rsid w:val="00DD4B6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a0"/>
    <w:rsid w:val="00DD4B6A"/>
  </w:style>
  <w:style w:type="character" w:customStyle="1" w:styleId="big-number">
    <w:name w:val="big-number"/>
    <w:basedOn w:val="a0"/>
    <w:rsid w:val="00DD4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18049">
      <w:bodyDiv w:val="1"/>
      <w:marLeft w:val="0"/>
      <w:marRight w:val="0"/>
      <w:marTop w:val="0"/>
      <w:marBottom w:val="0"/>
      <w:divBdr>
        <w:top w:val="none" w:sz="0" w:space="0" w:color="auto"/>
        <w:left w:val="none" w:sz="0" w:space="0" w:color="auto"/>
        <w:bottom w:val="none" w:sz="0" w:space="0" w:color="auto"/>
        <w:right w:val="none" w:sz="0" w:space="0" w:color="auto"/>
      </w:divBdr>
    </w:div>
    <w:div w:id="72005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939</Words>
  <Characters>4698</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2019-07-04T14:56:00Z</dcterms:created>
  <dcterms:modified xsi:type="dcterms:W3CDTF">2019-07-04T14:56:00Z</dcterms:modified>
</cp:coreProperties>
</file>